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jc w:val="center"/>
      </w:pPr>
      <w:r>
        <w:rPr>
          <w:rFonts w:ascii="Arial" w:hAnsi="Arial"/>
          <w:b/>
          <w:color w:val="006699"/>
          <w:sz w:val="40"/>
        </w:rPr>
        <w:t>Sales &amp; Digital Marketing Master Study Guide</w:t>
      </w:r>
    </w:p>
    <w:p>
      <w:pPr>
        <w:spacing w:before="0" w:after="360"/>
        <w:jc w:val="center"/>
      </w:pPr>
      <w:r>
        <w:rPr>
          <w:rFonts w:ascii="Arial" w:hAnsi="Arial"/>
          <w:i/>
          <w:color w:val="5A6B7C"/>
          <w:sz w:val="22"/>
        </w:rPr>
        <w:t>Comprehensive Training Manual: SEO, Paid Ads (PPC), Email Marketing &amp; CRM Automation Frameworks</w:t>
      </w:r>
    </w:p>
    <w:p>
      <w:pPr>
        <w:keepNext/>
        <w:spacing w:before="320" w:after="120"/>
        <w:pBrd>
          <w:bottom w:val="single" w:sz="6" w:space="2" w:color="006699"/>
        </w:pBrd>
      </w:pPr>
      <w:r>
        <w:rPr>
          <w:rFonts w:ascii="Arial" w:hAnsi="Arial"/>
          <w:b/>
          <w:color w:val="006699"/>
          <w:sz w:val="28"/>
        </w:rPr>
        <w:t>Module 1: Strategic Foundations of Sales &amp; Digital Marketing</w:t>
      </w:r>
    </w:p>
    <w:p>
      <w:pPr>
        <w:keepNext/>
        <w:spacing w:before="200" w:after="60"/>
      </w:pPr>
      <w:r>
        <w:rPr>
          <w:rFonts w:ascii="Arial" w:hAnsi="Arial"/>
          <w:b/>
          <w:color w:val="5A6B7C"/>
          <w:sz w:val="23"/>
        </w:rPr>
        <w:t>1.1 The Modern Digital Marketing Ecosystem</w:t>
      </w:r>
    </w:p>
    <w:p>
      <w:r>
        <w:t>Digital marketing has evolved from simple banner ads and basic website optimization into a sophisticated, data-driven discipline encompassing organic search, paid acquisition, lifecycle email marketing, and automated customer relationship management (CRM). Modern enterprises must orchestrate these channels seamlessly to capture attention and drive sustainable revenue growth.</w:t>
      </w:r>
    </w:p>
    <w:p>
      <w:pPr>
        <w:keepNext/>
        <w:spacing w:before="200" w:after="60"/>
      </w:pPr>
      <w:r>
        <w:rPr>
          <w:rFonts w:ascii="Arial" w:hAnsi="Arial"/>
          <w:b/>
          <w:color w:val="5A6B7C"/>
          <w:sz w:val="23"/>
        </w:rPr>
        <w:t>1.2 The Multi-Channel Funnel Architecture</w:t>
      </w:r>
    </w:p>
    <w:p>
      <w:r>
        <w:t>• Top of Funnel (ToFu): Building brand awareness and capturing organic traffic through SEO content, social media, and broad reach campaigns.</w:t>
        <w:br/>
        <w:t>• Middle of Funnel (MoFu): Nurturing prospects through targeted email sequences, educational whitepapers, and retargeting ads.</w:t>
        <w:br/>
        <w:t>• Bottom of Funnel (BoFu): Converting high-intent leads into paying customers via product demos, free trials, and sales outreach calls.</w:t>
      </w:r>
    </w:p>
    <w:p>
      <w:r>
        <w:br w:type="page"/>
      </w:r>
    </w:p>
    <w:p>
      <w:pPr>
        <w:keepNext/>
        <w:spacing w:before="320" w:after="120"/>
        <w:pBrd>
          <w:bottom w:val="single" w:sz="6" w:space="2" w:color="006699"/>
        </w:pBrd>
      </w:pPr>
      <w:r>
        <w:rPr>
          <w:rFonts w:ascii="Arial" w:hAnsi="Arial"/>
          <w:b/>
          <w:color w:val="006699"/>
          <w:sz w:val="28"/>
        </w:rPr>
        <w:t>Module 2: Search Engine Optimization (SEO) Masterclass</w:t>
      </w:r>
    </w:p>
    <w:p>
      <w:pPr>
        <w:keepNext/>
        <w:spacing w:before="200" w:after="60"/>
      </w:pPr>
      <w:r>
        <w:rPr>
          <w:rFonts w:ascii="Arial" w:hAnsi="Arial"/>
          <w:b/>
          <w:color w:val="5A6B7C"/>
          <w:sz w:val="23"/>
        </w:rPr>
        <w:t>2.1 On-Page SEO &amp; Content Optimization</w:t>
      </w:r>
    </w:p>
    <w:p>
      <w:r>
        <w:t>On-page SEO involves optimizing individual web pages to rank higher and earn relevant traffic from search engines. Key elements include strategic keyword placement in title tags, meta descriptions, H1-H3 header hierarchies, URL structures, and contextual internal linking that guides users and search engine crawlers through the site architecture.</w:t>
      </w:r>
    </w:p>
    <w:p>
      <w:pPr>
        <w:keepNext/>
        <w:spacing w:before="200" w:after="60"/>
      </w:pPr>
      <w:r>
        <w:rPr>
          <w:rFonts w:ascii="Arial" w:hAnsi="Arial"/>
          <w:b/>
          <w:color w:val="5A6B7C"/>
          <w:sz w:val="23"/>
        </w:rPr>
        <w:t>2.2 Technical SEO &amp; Core Web Vitals</w:t>
      </w:r>
    </w:p>
    <w:p>
      <w:r>
        <w:t>Technical SEO ensures that search engines can easily crawl, render, and index a website without encountering errors. Critical factors include optimizing site speed (Largest Contentful Paint), ensuring mobile responsiveness, fixing broken links, implementing XML sitemaps, and maintaining secure HTTPS protocols.</w:t>
      </w:r>
    </w:p>
    <w:p>
      <w:pPr>
        <w:keepNext/>
        <w:spacing w:before="200" w:after="60"/>
      </w:pPr>
      <w:r>
        <w:rPr>
          <w:rFonts w:ascii="Arial" w:hAnsi="Arial"/>
          <w:b/>
          <w:color w:val="5A6B7C"/>
          <w:sz w:val="23"/>
        </w:rPr>
        <w:t>2.3 Off-Page SEO &amp; Authority Building</w:t>
      </w:r>
    </w:p>
    <w:p>
      <w:r>
        <w:t>Off-page SEO focuses on increasing domain authority and brand trust through external signals. This is achieved primarily through ethical backlink acquisition, digital PR outreach, guest blogging on high-authority industry sites, and competitor backlink gap analysis.</w:t>
      </w:r>
    </w:p>
    <w:p>
      <w:r>
        <w:br w:type="page"/>
      </w:r>
    </w:p>
    <w:p>
      <w:pPr>
        <w:keepNext/>
        <w:spacing w:before="320" w:after="120"/>
        <w:pBrd>
          <w:bottom w:val="single" w:sz="6" w:space="2" w:color="006699"/>
        </w:pBrd>
      </w:pPr>
      <w:r>
        <w:rPr>
          <w:rFonts w:ascii="Arial" w:hAnsi="Arial"/>
          <w:b/>
          <w:color w:val="006699"/>
          <w:sz w:val="28"/>
        </w:rPr>
        <w:t>Module 3: Paid Advertising (PPC) &amp; Performance Marketing</w:t>
      </w:r>
    </w:p>
    <w:p>
      <w:pPr>
        <w:keepNext/>
        <w:spacing w:before="200" w:after="60"/>
      </w:pPr>
      <w:r>
        <w:rPr>
          <w:rFonts w:ascii="Arial" w:hAnsi="Arial"/>
          <w:b/>
          <w:color w:val="5A6B7C"/>
          <w:sz w:val="23"/>
        </w:rPr>
        <w:t>3.1 Search &amp; Display Advertising (Google Ads)</w:t>
      </w:r>
    </w:p>
    <w:p>
      <w:r>
        <w:t>Pay-Per-Click (PPC) advertising on search engines allows brands to capture high-intent buyers actively searching for specific solutions. Effective campaign management requires rigorous keyword research, negative keyword filtering, compelling ad copy writing, and high-converting landing page alignment to optimize Quality Score and lower Cost-Per-Click (CPC).</w:t>
      </w:r>
    </w:p>
    <w:p>
      <w:pPr>
        <w:keepNext/>
        <w:spacing w:before="200" w:after="60"/>
      </w:pPr>
      <w:r>
        <w:rPr>
          <w:rFonts w:ascii="Arial" w:hAnsi="Arial"/>
          <w:b/>
          <w:color w:val="5A6B7C"/>
          <w:sz w:val="23"/>
        </w:rPr>
        <w:t>3.2 Social Media Paid Acquisition (Meta &amp; LinkedIn Ads)</w:t>
      </w:r>
    </w:p>
    <w:p>
      <w:r>
        <w:t>• Meta Ads (Facebook &amp; Instagram): Ideal for B2C and D2C brands, leveraging precise demographic, interest, and lookalike audience targeting.</w:t>
        <w:br/>
        <w:t>• LinkedIn Ads: The gold standard for B2B lead generation, targeting decision-makers by job title, industry, company size, and seniority level.</w:t>
      </w:r>
    </w:p>
    <w:p>
      <w:pPr>
        <w:keepNext/>
        <w:spacing w:before="200" w:after="60"/>
      </w:pPr>
      <w:r>
        <w:rPr>
          <w:rFonts w:ascii="Arial" w:hAnsi="Arial"/>
          <w:b/>
          <w:color w:val="5A6B7C"/>
          <w:sz w:val="23"/>
        </w:rPr>
        <w:t>3.3 Performance Metrics: ROAS, CPA &amp; Conversion Tracking</w:t>
      </w:r>
    </w:p>
    <w:p>
      <w:r>
        <w:t>Continuous performance monitoring is essential for scaling ad spend. Key metrics include Return on Ad Spend (ROAS), Cost Per Acquisition (CPA), Click-Through Rate (CTR), and Conversion Rate Optimization (CRO).</w:t>
      </w:r>
    </w:p>
    <w:p>
      <w:r>
        <w:br w:type="page"/>
      </w:r>
    </w:p>
    <w:p>
      <w:pPr>
        <w:keepNext/>
        <w:spacing w:before="320" w:after="120"/>
        <w:pBrd>
          <w:bottom w:val="single" w:sz="6" w:space="2" w:color="006699"/>
        </w:pBrd>
      </w:pPr>
      <w:r>
        <w:rPr>
          <w:rFonts w:ascii="Arial" w:hAnsi="Arial"/>
          <w:b/>
          <w:color w:val="006699"/>
          <w:sz w:val="28"/>
        </w:rPr>
        <w:t>Module 4: Email Marketing &amp; CRM Automation Workflows</w:t>
      </w:r>
    </w:p>
    <w:p>
      <w:pPr>
        <w:keepNext/>
        <w:spacing w:before="200" w:after="60"/>
      </w:pPr>
      <w:r>
        <w:rPr>
          <w:rFonts w:ascii="Arial" w:hAnsi="Arial"/>
          <w:b/>
          <w:color w:val="5A6B7C"/>
          <w:sz w:val="23"/>
        </w:rPr>
        <w:t>4.1 Strategic Email Segmentation &amp; List Hygiene</w:t>
      </w:r>
    </w:p>
    <w:p>
      <w:r>
        <w:t>Email marketing remains one of the highest-ROI digital channels when executed with precision. Segmentation involves dividing the subscriber list based on user behavior, purchase history, demographic data, and funnel stage. Regular list hygiene (removing unengaged subscribers) ensures high deliverability rates and protects sender reputation.</w:t>
      </w:r>
    </w:p>
    <w:p>
      <w:pPr>
        <w:keepNext/>
        <w:spacing w:before="200" w:after="60"/>
      </w:pPr>
      <w:r>
        <w:rPr>
          <w:rFonts w:ascii="Arial" w:hAnsi="Arial"/>
          <w:b/>
          <w:color w:val="5A6B7C"/>
          <w:sz w:val="23"/>
        </w:rPr>
        <w:t>4.2 Automated Nurture Sequences &amp; Triggered Flows</w:t>
      </w:r>
    </w:p>
    <w:p>
      <w:r>
        <w:t>• Welcome Series: Establishing brand value immediately after subscription or account creation.</w:t>
        <w:br/>
        <w:t>• Cart Abandonment Flows: Recovering lost e-commerce revenue with timely reminders and incentives.</w:t>
        <w:br/>
        <w:t>• Re-engagement Campaigns: Winning back dormant subscribers through targeted discount offers or feedback surveys.</w:t>
      </w:r>
    </w:p>
    <w:p>
      <w:pPr>
        <w:keepNext/>
        <w:spacing w:before="200" w:after="60"/>
      </w:pPr>
      <w:r>
        <w:rPr>
          <w:rFonts w:ascii="Arial" w:hAnsi="Arial"/>
          <w:b/>
          <w:color w:val="5A6B7C"/>
          <w:sz w:val="23"/>
        </w:rPr>
        <w:t>4.3 CRM Integration (HubSpot &amp; ActiveCampaign)</w:t>
      </w:r>
    </w:p>
    <w:p>
      <w:r>
        <w:t>Integrating email campaigns with enterprise CRM platforms allows sales and marketing teams to track complete customer lifecycles, automate lead scoring, and trigger sales notifications the moment a prospect exhibits high buying intent.</w:t>
      </w:r>
    </w:p>
    <w:p>
      <w:r>
        <w:br w:type="page"/>
      </w:r>
    </w:p>
    <w:p>
      <w:pPr>
        <w:keepNext/>
        <w:spacing w:before="320" w:after="120"/>
        <w:pBrd>
          <w:bottom w:val="single" w:sz="6" w:space="2" w:color="006699"/>
        </w:pBrd>
      </w:pPr>
      <w:r>
        <w:rPr>
          <w:rFonts w:ascii="Arial" w:hAnsi="Arial"/>
          <w:b/>
          <w:color w:val="006699"/>
          <w:sz w:val="28"/>
        </w:rPr>
        <w:t>Module 5: Sales Outreach Playbooks &amp; Campaign Analytics</w:t>
      </w:r>
    </w:p>
    <w:p>
      <w:pPr>
        <w:keepNext/>
        <w:spacing w:before="200" w:after="60"/>
      </w:pPr>
      <w:r>
        <w:rPr>
          <w:rFonts w:ascii="Arial" w:hAnsi="Arial"/>
          <w:b/>
          <w:color w:val="5A6B7C"/>
          <w:sz w:val="23"/>
        </w:rPr>
        <w:t>5.1 B2B Cold Outreach &amp; Multi-Touch Sequences</w:t>
      </w:r>
    </w:p>
    <w:p>
      <w:r>
        <w:t>Successful outbound sales require a disciplined multi-touch cadence combining personalized cold emails, LinkedIn connection requests, social selling interactions, and strategic phone follow-ups. Messaging must always focus on the prospect's pain points and quantified business value.</w:t>
      </w:r>
    </w:p>
    <w:p>
      <w:pPr>
        <w:keepNext/>
        <w:spacing w:before="200" w:after="60"/>
      </w:pPr>
      <w:r>
        <w:rPr>
          <w:rFonts w:ascii="Arial" w:hAnsi="Arial"/>
          <w:b/>
          <w:color w:val="5A6B7C"/>
          <w:sz w:val="23"/>
        </w:rPr>
        <w:t>5.2 Marketing Analytics &amp; Continuous Optimization</w:t>
      </w:r>
    </w:p>
    <w:p>
      <w:r>
        <w:t>• A/B Testing: Rigorously testing subject lines, ad creatives, call-to-action buttons, and landing page layouts.</w:t>
        <w:br/>
        <w:t>• Attribution Modeling: Analyzing which marketing channels and touchpoints contribute most effectively to closed-won deals.</w:t>
        <w:br/>
        <w:t>• Executive Reporting: Compiling comprehensive KPI dashboards for leadership review to guide quarterly budget allocations.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Arial" w:hAnsi="Arial"/>
      <w:color w:val="2828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